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EAC" w:rsidRPr="00BC7BF8" w:rsidRDefault="00AA1EAC" w:rsidP="00AA1EAC">
      <w:pPr>
        <w:spacing w:before="120" w:after="120"/>
        <w:jc w:val="center"/>
        <w:rPr>
          <w:b/>
          <w:sz w:val="28"/>
          <w:szCs w:val="28"/>
        </w:rPr>
      </w:pPr>
      <w:r>
        <w:rPr>
          <w:b/>
          <w:sz w:val="28"/>
          <w:szCs w:val="28"/>
        </w:rPr>
        <w:t>Phụ lục 3</w:t>
      </w:r>
    </w:p>
    <w:p w:rsidR="00AA1EAC" w:rsidRPr="00BC7BF8" w:rsidRDefault="00AA1EAC" w:rsidP="00AA1EAC">
      <w:pPr>
        <w:jc w:val="center"/>
        <w:rPr>
          <w:b/>
          <w:sz w:val="26"/>
          <w:szCs w:val="26"/>
        </w:rPr>
      </w:pPr>
      <w:r w:rsidRPr="00BC7BF8">
        <w:rPr>
          <w:b/>
          <w:sz w:val="26"/>
          <w:szCs w:val="26"/>
        </w:rPr>
        <w:t xml:space="preserve">THỦ TỤC HÀNH CHÍNH BỊ BÃI BỎ TRONG LĨNH VỰC GIÁM ĐỊNH </w:t>
      </w:r>
    </w:p>
    <w:p w:rsidR="00AA1EAC" w:rsidRDefault="00AA1EAC" w:rsidP="00AA1EAC">
      <w:pPr>
        <w:jc w:val="center"/>
        <w:rPr>
          <w:b/>
          <w:sz w:val="26"/>
          <w:szCs w:val="26"/>
        </w:rPr>
      </w:pPr>
      <w:r w:rsidRPr="00BC7BF8">
        <w:rPr>
          <w:b/>
          <w:sz w:val="26"/>
          <w:szCs w:val="26"/>
        </w:rPr>
        <w:t>TƯ PHÁP THUỘC PHẠM VI CHỨC NĂNG QUẢN LÝ CỦA BỘ TƯ PHÁP</w:t>
      </w:r>
    </w:p>
    <w:p w:rsidR="00AA1EAC" w:rsidRPr="00BC7BF8" w:rsidRDefault="00AA1EAC" w:rsidP="00AA1EAC">
      <w:pPr>
        <w:jc w:val="center"/>
        <w:rPr>
          <w:i/>
          <w:sz w:val="28"/>
          <w:szCs w:val="28"/>
        </w:rPr>
      </w:pPr>
      <w:r w:rsidRPr="00BC7BF8">
        <w:rPr>
          <w:i/>
          <w:sz w:val="28"/>
          <w:szCs w:val="28"/>
        </w:rPr>
        <w:t xml:space="preserve">(Ban hành kèm theo Quyết định số </w:t>
      </w:r>
      <w:r w:rsidR="00E7378E">
        <w:rPr>
          <w:i/>
          <w:sz w:val="28"/>
          <w:szCs w:val="28"/>
        </w:rPr>
        <w:t>524</w:t>
      </w:r>
      <w:r w:rsidRPr="00BC7BF8">
        <w:rPr>
          <w:i/>
          <w:sz w:val="28"/>
          <w:szCs w:val="28"/>
        </w:rPr>
        <w:t>/QĐ-BTP ngày</w:t>
      </w:r>
      <w:r w:rsidR="00E7378E">
        <w:rPr>
          <w:i/>
          <w:sz w:val="28"/>
          <w:szCs w:val="28"/>
        </w:rPr>
        <w:t xml:space="preserve"> 05 </w:t>
      </w:r>
      <w:r w:rsidRPr="00BC7BF8">
        <w:rPr>
          <w:i/>
          <w:sz w:val="28"/>
          <w:szCs w:val="28"/>
        </w:rPr>
        <w:t>tháng</w:t>
      </w:r>
      <w:r w:rsidR="00E7378E">
        <w:rPr>
          <w:i/>
          <w:sz w:val="28"/>
          <w:szCs w:val="28"/>
        </w:rPr>
        <w:t xml:space="preserve"> 4 </w:t>
      </w:r>
      <w:bookmarkStart w:id="0" w:name="_GoBack"/>
      <w:bookmarkEnd w:id="0"/>
      <w:r w:rsidRPr="00BC7BF8">
        <w:rPr>
          <w:i/>
          <w:sz w:val="28"/>
          <w:szCs w:val="28"/>
        </w:rPr>
        <w:t>năm 2021 của Bộ trưởng Bộ Tư pháp)</w:t>
      </w:r>
    </w:p>
    <w:p w:rsidR="00AA1EAC" w:rsidRPr="00BC7BF8" w:rsidRDefault="00AA1EAC" w:rsidP="00AA1EAC">
      <w:pPr>
        <w:jc w:val="center"/>
        <w:rPr>
          <w:b/>
          <w:sz w:val="26"/>
          <w:szCs w:val="26"/>
        </w:rPr>
      </w:pPr>
    </w:p>
    <w:p w:rsidR="00AA1EAC" w:rsidRPr="00BC7BF8" w:rsidRDefault="00AA1EAC" w:rsidP="00AA1EAC">
      <w:pPr>
        <w:jc w:val="center"/>
        <w:rPr>
          <w:i/>
          <w:sz w:val="28"/>
          <w:szCs w:val="28"/>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724"/>
        <w:gridCol w:w="4536"/>
        <w:gridCol w:w="1985"/>
      </w:tblGrid>
      <w:tr w:rsidR="00AA1EAC" w:rsidRPr="00BC7BF8" w:rsidTr="000F270F">
        <w:tc>
          <w:tcPr>
            <w:tcW w:w="828" w:type="dxa"/>
            <w:shd w:val="clear" w:color="auto" w:fill="auto"/>
          </w:tcPr>
          <w:p w:rsidR="00AA1EAC" w:rsidRPr="00BC7BF8" w:rsidRDefault="00AA1EAC" w:rsidP="000F270F">
            <w:pPr>
              <w:spacing w:before="60" w:after="60"/>
              <w:jc w:val="center"/>
              <w:rPr>
                <w:b/>
                <w:sz w:val="26"/>
                <w:szCs w:val="26"/>
              </w:rPr>
            </w:pPr>
            <w:r w:rsidRPr="00BC7BF8">
              <w:rPr>
                <w:b/>
                <w:sz w:val="26"/>
                <w:szCs w:val="26"/>
              </w:rPr>
              <w:t>STT</w:t>
            </w:r>
          </w:p>
        </w:tc>
        <w:tc>
          <w:tcPr>
            <w:tcW w:w="1724" w:type="dxa"/>
            <w:shd w:val="clear" w:color="auto" w:fill="auto"/>
          </w:tcPr>
          <w:p w:rsidR="00AA1EAC" w:rsidRPr="00BC7BF8" w:rsidRDefault="00AA1EAC" w:rsidP="000F270F">
            <w:pPr>
              <w:spacing w:before="60" w:after="60"/>
              <w:jc w:val="center"/>
              <w:rPr>
                <w:b/>
                <w:sz w:val="26"/>
                <w:szCs w:val="26"/>
              </w:rPr>
            </w:pPr>
            <w:r>
              <w:rPr>
                <w:b/>
                <w:sz w:val="26"/>
                <w:szCs w:val="26"/>
              </w:rPr>
              <w:t>Số hồ sơ TTHC</w:t>
            </w:r>
            <w:r>
              <w:rPr>
                <w:rStyle w:val="FootnoteReference"/>
                <w:b/>
                <w:sz w:val="26"/>
                <w:szCs w:val="26"/>
              </w:rPr>
              <w:footnoteReference w:id="1"/>
            </w:r>
          </w:p>
        </w:tc>
        <w:tc>
          <w:tcPr>
            <w:tcW w:w="4536" w:type="dxa"/>
            <w:shd w:val="clear" w:color="auto" w:fill="auto"/>
          </w:tcPr>
          <w:p w:rsidR="00AA1EAC" w:rsidRPr="00BC7BF8" w:rsidRDefault="00AA1EAC" w:rsidP="000F270F">
            <w:pPr>
              <w:spacing w:before="60"/>
              <w:jc w:val="center"/>
              <w:rPr>
                <w:b/>
                <w:sz w:val="26"/>
                <w:szCs w:val="26"/>
              </w:rPr>
            </w:pPr>
            <w:r w:rsidRPr="00BC7BF8">
              <w:rPr>
                <w:b/>
                <w:sz w:val="26"/>
                <w:szCs w:val="26"/>
              </w:rPr>
              <w:t>Tên thủ tục hành chính</w:t>
            </w:r>
          </w:p>
        </w:tc>
        <w:tc>
          <w:tcPr>
            <w:tcW w:w="1985" w:type="dxa"/>
            <w:shd w:val="clear" w:color="auto" w:fill="auto"/>
          </w:tcPr>
          <w:p w:rsidR="00AA1EAC" w:rsidRPr="00BC7BF8" w:rsidRDefault="00AA1EAC" w:rsidP="000F270F">
            <w:pPr>
              <w:spacing w:before="60" w:after="60"/>
              <w:jc w:val="center"/>
              <w:rPr>
                <w:b/>
                <w:sz w:val="26"/>
                <w:szCs w:val="26"/>
              </w:rPr>
            </w:pPr>
            <w:r w:rsidRPr="00BC7BF8">
              <w:rPr>
                <w:b/>
                <w:sz w:val="26"/>
                <w:szCs w:val="26"/>
              </w:rPr>
              <w:t>Cơ quan thực hiện</w:t>
            </w:r>
          </w:p>
        </w:tc>
      </w:tr>
      <w:tr w:rsidR="00AA1EAC" w:rsidRPr="00BC7BF8" w:rsidTr="000F270F">
        <w:tc>
          <w:tcPr>
            <w:tcW w:w="9073" w:type="dxa"/>
            <w:gridSpan w:val="4"/>
            <w:shd w:val="clear" w:color="auto" w:fill="auto"/>
          </w:tcPr>
          <w:p w:rsidR="00AA1EAC" w:rsidRPr="00BC7BF8" w:rsidRDefault="00AA1EAC" w:rsidP="000F270F">
            <w:pPr>
              <w:spacing w:before="60" w:after="60"/>
              <w:jc w:val="both"/>
              <w:rPr>
                <w:sz w:val="26"/>
                <w:szCs w:val="26"/>
              </w:rPr>
            </w:pPr>
            <w:r w:rsidRPr="00BC7BF8">
              <w:rPr>
                <w:b/>
                <w:sz w:val="26"/>
                <w:szCs w:val="26"/>
              </w:rPr>
              <w:t>Thủ tục hành chính cấp tỉnh</w:t>
            </w:r>
          </w:p>
        </w:tc>
      </w:tr>
      <w:tr w:rsidR="00AA1EAC" w:rsidRPr="00BC7BF8" w:rsidTr="000F270F">
        <w:tc>
          <w:tcPr>
            <w:tcW w:w="828" w:type="dxa"/>
            <w:shd w:val="clear" w:color="auto" w:fill="auto"/>
          </w:tcPr>
          <w:p w:rsidR="00AA1EAC" w:rsidRPr="00BC7BF8" w:rsidRDefault="00AA1EAC" w:rsidP="00AA1EAC">
            <w:pPr>
              <w:pStyle w:val="ListParagraph"/>
              <w:numPr>
                <w:ilvl w:val="0"/>
                <w:numId w:val="1"/>
              </w:numPr>
              <w:spacing w:before="60" w:after="60"/>
              <w:jc w:val="center"/>
              <w:rPr>
                <w:sz w:val="26"/>
                <w:szCs w:val="26"/>
              </w:rPr>
            </w:pPr>
          </w:p>
        </w:tc>
        <w:tc>
          <w:tcPr>
            <w:tcW w:w="1724" w:type="dxa"/>
            <w:shd w:val="clear" w:color="auto" w:fill="auto"/>
            <w:vAlign w:val="center"/>
          </w:tcPr>
          <w:p w:rsidR="00AA1EAC" w:rsidRPr="00BC7BF8" w:rsidRDefault="00761169" w:rsidP="000F270F">
            <w:pPr>
              <w:spacing w:before="60" w:after="60"/>
              <w:jc w:val="center"/>
              <w:rPr>
                <w:sz w:val="26"/>
                <w:szCs w:val="26"/>
              </w:rPr>
            </w:pPr>
            <w:hyperlink r:id="rId8" w:history="1">
              <w:r w:rsidR="00AA1EAC" w:rsidRPr="00BC7BF8">
                <w:rPr>
                  <w:sz w:val="26"/>
                  <w:szCs w:val="26"/>
                </w:rPr>
                <w:t>1.009474</w:t>
              </w:r>
            </w:hyperlink>
          </w:p>
        </w:tc>
        <w:tc>
          <w:tcPr>
            <w:tcW w:w="4536" w:type="dxa"/>
            <w:shd w:val="clear" w:color="auto" w:fill="auto"/>
          </w:tcPr>
          <w:p w:rsidR="00AA1EAC" w:rsidRPr="00BC7BF8" w:rsidRDefault="00AA1EAC" w:rsidP="000F270F">
            <w:pPr>
              <w:spacing w:before="60" w:after="60"/>
              <w:jc w:val="both"/>
              <w:rPr>
                <w:sz w:val="26"/>
                <w:szCs w:val="26"/>
              </w:rPr>
            </w:pPr>
            <w:r w:rsidRPr="00BC7BF8">
              <w:rPr>
                <w:sz w:val="26"/>
                <w:szCs w:val="26"/>
              </w:rPr>
              <w:t>Thu hồi Giấy đăng ký hoạt động của Văn phòng giám định tư pháp</w:t>
            </w:r>
          </w:p>
        </w:tc>
        <w:tc>
          <w:tcPr>
            <w:tcW w:w="1985" w:type="dxa"/>
            <w:shd w:val="clear" w:color="auto" w:fill="auto"/>
          </w:tcPr>
          <w:p w:rsidR="00AA1EAC" w:rsidRPr="00BC7BF8" w:rsidRDefault="00AA1EAC" w:rsidP="000F270F">
            <w:pPr>
              <w:spacing w:before="60" w:after="60"/>
              <w:jc w:val="center"/>
              <w:rPr>
                <w:sz w:val="26"/>
                <w:szCs w:val="26"/>
              </w:rPr>
            </w:pPr>
            <w:r w:rsidRPr="00BC7BF8">
              <w:rPr>
                <w:sz w:val="26"/>
                <w:szCs w:val="26"/>
              </w:rPr>
              <w:t>Sở Tư pháp</w:t>
            </w:r>
          </w:p>
        </w:tc>
      </w:tr>
      <w:tr w:rsidR="00AA1EAC" w:rsidRPr="00BC7BF8" w:rsidTr="000F270F">
        <w:tc>
          <w:tcPr>
            <w:tcW w:w="828" w:type="dxa"/>
            <w:shd w:val="clear" w:color="auto" w:fill="auto"/>
          </w:tcPr>
          <w:p w:rsidR="00AA1EAC" w:rsidRPr="00BC7BF8" w:rsidRDefault="00AA1EAC" w:rsidP="00AA1EAC">
            <w:pPr>
              <w:pStyle w:val="ListParagraph"/>
              <w:numPr>
                <w:ilvl w:val="0"/>
                <w:numId w:val="1"/>
              </w:numPr>
              <w:spacing w:before="60" w:after="60"/>
              <w:jc w:val="center"/>
              <w:rPr>
                <w:sz w:val="26"/>
                <w:szCs w:val="26"/>
              </w:rPr>
            </w:pPr>
          </w:p>
        </w:tc>
        <w:tc>
          <w:tcPr>
            <w:tcW w:w="1724" w:type="dxa"/>
            <w:shd w:val="clear" w:color="auto" w:fill="auto"/>
            <w:vAlign w:val="center"/>
          </w:tcPr>
          <w:p w:rsidR="00AA1EAC" w:rsidRPr="00BC7BF8" w:rsidRDefault="00761169" w:rsidP="000F270F">
            <w:pPr>
              <w:spacing w:before="60" w:after="60"/>
              <w:jc w:val="center"/>
              <w:rPr>
                <w:sz w:val="26"/>
                <w:szCs w:val="26"/>
              </w:rPr>
            </w:pPr>
            <w:hyperlink r:id="rId9" w:history="1">
              <w:r w:rsidR="00AA1EAC" w:rsidRPr="00BC7BF8">
                <w:rPr>
                  <w:sz w:val="26"/>
                  <w:szCs w:val="26"/>
                </w:rPr>
                <w:t>1.001135</w:t>
              </w:r>
            </w:hyperlink>
          </w:p>
        </w:tc>
        <w:tc>
          <w:tcPr>
            <w:tcW w:w="4536" w:type="dxa"/>
            <w:shd w:val="clear" w:color="auto" w:fill="auto"/>
          </w:tcPr>
          <w:p w:rsidR="00AA1EAC" w:rsidRPr="00BC7BF8" w:rsidRDefault="00AA1EAC" w:rsidP="000F270F">
            <w:pPr>
              <w:spacing w:before="60" w:after="60"/>
              <w:jc w:val="both"/>
              <w:rPr>
                <w:sz w:val="26"/>
                <w:szCs w:val="26"/>
              </w:rPr>
            </w:pPr>
            <w:r w:rsidRPr="00BC7BF8">
              <w:rPr>
                <w:sz w:val="26"/>
                <w:szCs w:val="26"/>
              </w:rPr>
              <w:t>Chấm dứt hoạt động Văn phòng giám định tư pháp trường hợp Văn phòng giám định tư pháp chấm dứt hoạt động do bị thu hồi Giấy đăng ký hoạt động</w:t>
            </w:r>
          </w:p>
        </w:tc>
        <w:tc>
          <w:tcPr>
            <w:tcW w:w="1985" w:type="dxa"/>
            <w:shd w:val="clear" w:color="auto" w:fill="auto"/>
          </w:tcPr>
          <w:p w:rsidR="00AA1EAC" w:rsidRPr="00BC7BF8" w:rsidRDefault="00AA1EAC" w:rsidP="000F270F">
            <w:pPr>
              <w:spacing w:before="60" w:after="60"/>
              <w:jc w:val="center"/>
              <w:rPr>
                <w:sz w:val="26"/>
                <w:szCs w:val="26"/>
              </w:rPr>
            </w:pPr>
            <w:r w:rsidRPr="00BC7BF8">
              <w:rPr>
                <w:sz w:val="26"/>
                <w:szCs w:val="26"/>
              </w:rPr>
              <w:t>Sở Tư pháp</w:t>
            </w:r>
          </w:p>
        </w:tc>
      </w:tr>
      <w:tr w:rsidR="00AA1EAC" w:rsidRPr="00BC7BF8" w:rsidTr="000F270F">
        <w:tc>
          <w:tcPr>
            <w:tcW w:w="828" w:type="dxa"/>
            <w:shd w:val="clear" w:color="auto" w:fill="auto"/>
          </w:tcPr>
          <w:p w:rsidR="00AA1EAC" w:rsidRPr="00BC7BF8" w:rsidRDefault="00AA1EAC" w:rsidP="00AA1EAC">
            <w:pPr>
              <w:pStyle w:val="ListParagraph"/>
              <w:numPr>
                <w:ilvl w:val="0"/>
                <w:numId w:val="1"/>
              </w:numPr>
              <w:spacing w:before="60" w:after="60"/>
              <w:jc w:val="center"/>
              <w:rPr>
                <w:sz w:val="26"/>
                <w:szCs w:val="26"/>
              </w:rPr>
            </w:pPr>
          </w:p>
        </w:tc>
        <w:tc>
          <w:tcPr>
            <w:tcW w:w="1724" w:type="dxa"/>
            <w:shd w:val="clear" w:color="auto" w:fill="auto"/>
            <w:vAlign w:val="center"/>
          </w:tcPr>
          <w:p w:rsidR="00AA1EAC" w:rsidRPr="00BC7BF8" w:rsidRDefault="00761169" w:rsidP="000F270F">
            <w:pPr>
              <w:spacing w:before="60" w:after="60"/>
              <w:jc w:val="center"/>
              <w:rPr>
                <w:sz w:val="26"/>
                <w:szCs w:val="26"/>
              </w:rPr>
            </w:pPr>
            <w:hyperlink r:id="rId10" w:history="1">
              <w:r w:rsidR="00AA1EAC" w:rsidRPr="00BC7BF8">
                <w:rPr>
                  <w:sz w:val="26"/>
                  <w:szCs w:val="26"/>
                </w:rPr>
                <w:t>1.001145</w:t>
              </w:r>
            </w:hyperlink>
          </w:p>
        </w:tc>
        <w:tc>
          <w:tcPr>
            <w:tcW w:w="4536" w:type="dxa"/>
            <w:shd w:val="clear" w:color="auto" w:fill="auto"/>
          </w:tcPr>
          <w:p w:rsidR="00AA1EAC" w:rsidRPr="00BC7BF8" w:rsidRDefault="00AA1EAC" w:rsidP="000F270F">
            <w:pPr>
              <w:spacing w:before="60" w:after="60"/>
              <w:jc w:val="both"/>
              <w:rPr>
                <w:sz w:val="26"/>
                <w:szCs w:val="26"/>
              </w:rPr>
            </w:pPr>
            <w:r w:rsidRPr="00BC7BF8">
              <w:rPr>
                <w:sz w:val="26"/>
                <w:szCs w:val="26"/>
              </w:rPr>
              <w:t>Chấm dứt hoạt động Văn phòng giám định tư pháp trường hợp Văn phòng giám định tư pháp tự chấm dứt hoạt động</w:t>
            </w:r>
          </w:p>
        </w:tc>
        <w:tc>
          <w:tcPr>
            <w:tcW w:w="1985" w:type="dxa"/>
            <w:shd w:val="clear" w:color="auto" w:fill="auto"/>
          </w:tcPr>
          <w:p w:rsidR="00AA1EAC" w:rsidRPr="00BC7BF8" w:rsidRDefault="00AA1EAC" w:rsidP="000F270F">
            <w:pPr>
              <w:spacing w:before="60" w:after="60"/>
              <w:jc w:val="center"/>
              <w:rPr>
                <w:sz w:val="26"/>
                <w:szCs w:val="26"/>
              </w:rPr>
            </w:pPr>
            <w:r w:rsidRPr="00BC7BF8">
              <w:rPr>
                <w:sz w:val="26"/>
                <w:szCs w:val="26"/>
              </w:rPr>
              <w:t>Sở Tư pháp</w:t>
            </w:r>
          </w:p>
        </w:tc>
      </w:tr>
      <w:tr w:rsidR="00AA1EAC" w:rsidRPr="00BC7BF8" w:rsidTr="000F270F">
        <w:tc>
          <w:tcPr>
            <w:tcW w:w="828" w:type="dxa"/>
            <w:shd w:val="clear" w:color="auto" w:fill="auto"/>
          </w:tcPr>
          <w:p w:rsidR="00AA1EAC" w:rsidRPr="00BC7BF8" w:rsidRDefault="00AA1EAC" w:rsidP="00AA1EAC">
            <w:pPr>
              <w:pStyle w:val="ListParagraph"/>
              <w:numPr>
                <w:ilvl w:val="0"/>
                <w:numId w:val="1"/>
              </w:numPr>
              <w:spacing w:before="60" w:after="60"/>
              <w:jc w:val="center"/>
              <w:rPr>
                <w:sz w:val="26"/>
                <w:szCs w:val="26"/>
              </w:rPr>
            </w:pPr>
          </w:p>
        </w:tc>
        <w:tc>
          <w:tcPr>
            <w:tcW w:w="1724" w:type="dxa"/>
            <w:shd w:val="clear" w:color="auto" w:fill="auto"/>
            <w:vAlign w:val="center"/>
          </w:tcPr>
          <w:p w:rsidR="00AA1EAC" w:rsidRPr="00BC7BF8" w:rsidRDefault="00761169" w:rsidP="000F270F">
            <w:pPr>
              <w:spacing w:before="60" w:after="60"/>
              <w:jc w:val="center"/>
              <w:rPr>
                <w:sz w:val="26"/>
                <w:szCs w:val="26"/>
              </w:rPr>
            </w:pPr>
            <w:hyperlink r:id="rId11" w:history="1">
              <w:r w:rsidR="00AA1EAC" w:rsidRPr="00BC7BF8">
                <w:rPr>
                  <w:sz w:val="26"/>
                  <w:szCs w:val="26"/>
                </w:rPr>
                <w:t>2.000571</w:t>
              </w:r>
            </w:hyperlink>
          </w:p>
        </w:tc>
        <w:tc>
          <w:tcPr>
            <w:tcW w:w="4536" w:type="dxa"/>
            <w:shd w:val="clear" w:color="auto" w:fill="auto"/>
          </w:tcPr>
          <w:p w:rsidR="00AA1EAC" w:rsidRPr="00BC7BF8" w:rsidRDefault="00AA1EAC" w:rsidP="000F270F">
            <w:pPr>
              <w:spacing w:before="60" w:after="60"/>
              <w:jc w:val="both"/>
              <w:rPr>
                <w:sz w:val="26"/>
                <w:szCs w:val="26"/>
              </w:rPr>
            </w:pPr>
            <w:r w:rsidRPr="00BC7BF8">
              <w:rPr>
                <w:sz w:val="26"/>
                <w:szCs w:val="26"/>
              </w:rPr>
              <w:t xml:space="preserve">Thay đổi nội dung đăng ký hoạt động, cấp lại Giấy đăng ký hoạt động của Văn phòng giám định tư pháp </w:t>
            </w:r>
          </w:p>
        </w:tc>
        <w:tc>
          <w:tcPr>
            <w:tcW w:w="1985" w:type="dxa"/>
            <w:shd w:val="clear" w:color="auto" w:fill="auto"/>
          </w:tcPr>
          <w:p w:rsidR="00AA1EAC" w:rsidRPr="00BC7BF8" w:rsidRDefault="00AA1EAC" w:rsidP="000F270F">
            <w:pPr>
              <w:spacing w:before="60" w:after="60"/>
              <w:jc w:val="center"/>
              <w:rPr>
                <w:sz w:val="26"/>
                <w:szCs w:val="26"/>
              </w:rPr>
            </w:pPr>
            <w:r w:rsidRPr="00BC7BF8">
              <w:rPr>
                <w:sz w:val="26"/>
                <w:szCs w:val="26"/>
              </w:rPr>
              <w:t>Sở Tư pháp</w:t>
            </w:r>
          </w:p>
        </w:tc>
      </w:tr>
    </w:tbl>
    <w:p w:rsidR="00AA1EAC" w:rsidRPr="00BC7BF8" w:rsidRDefault="00AA1EAC" w:rsidP="00AA1EAC"/>
    <w:p w:rsidR="00AA1EAC" w:rsidRPr="00BC7BF8" w:rsidRDefault="00AA1EAC" w:rsidP="00AA1EAC">
      <w:pPr>
        <w:rPr>
          <w:b/>
          <w:i/>
        </w:rPr>
      </w:pPr>
    </w:p>
    <w:p w:rsidR="00AA1EAC" w:rsidRPr="00BC7BF8" w:rsidRDefault="00AA1EAC" w:rsidP="00AA1EAC">
      <w:pPr>
        <w:jc w:val="both"/>
        <w:rPr>
          <w:b/>
        </w:rPr>
      </w:pPr>
      <w:r w:rsidRPr="00BC7BF8">
        <w:rPr>
          <w:b/>
        </w:rPr>
        <w:t>Ghi chú:</w:t>
      </w:r>
    </w:p>
    <w:p w:rsidR="00AA1EAC" w:rsidRPr="00BC7BF8" w:rsidRDefault="00AA1EAC" w:rsidP="00AA1EAC">
      <w:pPr>
        <w:jc w:val="both"/>
        <w:rPr>
          <w:i/>
          <w:szCs w:val="28"/>
        </w:rPr>
      </w:pPr>
      <w:r w:rsidRPr="00BC7BF8">
        <w:rPr>
          <w:i/>
        </w:rPr>
        <w:t xml:space="preserve">Lý do bãi bỏ thủ tục hành chính: Các thủ tục này đã được công bố tại Quyết định số 2007/QĐ-BTP ngày 26/9/2016 của Bộ trưởng Bộ Tư pháp </w:t>
      </w:r>
      <w:r w:rsidRPr="00BC7BF8">
        <w:rPr>
          <w:i/>
          <w:szCs w:val="28"/>
        </w:rPr>
        <w:t xml:space="preserve">về việc công bố thủ tục hành chính trong các lĩnh vực luật sư, tư vấn pháp luật, công chứng, giám định tư pháp, bán đấu giá tài sản, trọng tài thương mại, quản tài viên và hành nghề quản lý, thanh lý tài sản thuộc phạm vi quản lý nhà nước của Bộ Tư pháp. Tuy nhiên, theo quy định tại Nghị định số 92/2017/NĐ-CP được Chính phủ ban hành ngày 07/8/2017 sửa đổi, bổ sung một số điều của các nghị định liên quan đến kiểm soát thủ tục hành chính thì các thủ tục này không đáp ứng đủ điều kiện của thủ tục hành chính, vì vậy được đưa ra khỏi Danh mục thủ tục hành chính. </w:t>
      </w:r>
    </w:p>
    <w:p w:rsidR="00AA1EAC" w:rsidRPr="00BC7BF8" w:rsidRDefault="00AA1EAC" w:rsidP="00AA1EAC">
      <w:pPr>
        <w:jc w:val="both"/>
        <w:rPr>
          <w:i/>
        </w:rPr>
      </w:pPr>
    </w:p>
    <w:p w:rsidR="00AA1EAC" w:rsidRPr="00BC7BF8" w:rsidRDefault="00AA1EAC" w:rsidP="00AA1EAC">
      <w:pPr>
        <w:spacing w:before="120" w:after="120" w:line="320" w:lineRule="exact"/>
        <w:ind w:firstLine="720"/>
        <w:jc w:val="both"/>
        <w:rPr>
          <w:sz w:val="26"/>
          <w:szCs w:val="26"/>
        </w:rPr>
      </w:pPr>
    </w:p>
    <w:p w:rsidR="00192FDA" w:rsidRDefault="00192FDA"/>
    <w:sectPr w:rsidR="00192FDA" w:rsidSect="00B47DDE">
      <w:headerReference w:type="default" r:id="rId1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169" w:rsidRDefault="00761169" w:rsidP="00AA1EAC">
      <w:r>
        <w:separator/>
      </w:r>
    </w:p>
  </w:endnote>
  <w:endnote w:type="continuationSeparator" w:id="0">
    <w:p w:rsidR="00761169" w:rsidRDefault="00761169" w:rsidP="00AA1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169" w:rsidRDefault="00761169" w:rsidP="00AA1EAC">
      <w:r>
        <w:separator/>
      </w:r>
    </w:p>
  </w:footnote>
  <w:footnote w:type="continuationSeparator" w:id="0">
    <w:p w:rsidR="00761169" w:rsidRDefault="00761169" w:rsidP="00AA1EAC">
      <w:r>
        <w:continuationSeparator/>
      </w:r>
    </w:p>
  </w:footnote>
  <w:footnote w:id="1">
    <w:p w:rsidR="00AA1EAC" w:rsidRDefault="00AA1EAC" w:rsidP="00AA1EAC">
      <w:pPr>
        <w:pStyle w:val="FootnoteText"/>
      </w:pPr>
      <w:r>
        <w:rPr>
          <w:rStyle w:val="FootnoteReference"/>
        </w:rPr>
        <w:footnoteRef/>
      </w:r>
      <w:r>
        <w:t xml:space="preserve"> Đối với những TTHC đã được cấp mã số trên Cổng Dịch vụ công Quốc gia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396465"/>
      <w:docPartObj>
        <w:docPartGallery w:val="Page Numbers (Top of Page)"/>
        <w:docPartUnique/>
      </w:docPartObj>
    </w:sdtPr>
    <w:sdtEndPr>
      <w:rPr>
        <w:noProof/>
      </w:rPr>
    </w:sdtEndPr>
    <w:sdtContent>
      <w:p w:rsidR="00A21E81" w:rsidRDefault="00A03F59">
        <w:pPr>
          <w:pStyle w:val="Header"/>
          <w:jc w:val="center"/>
        </w:pPr>
        <w:r>
          <w:fldChar w:fldCharType="begin"/>
        </w:r>
        <w:r>
          <w:instrText xml:space="preserve"> PAGE   \* MERGEFORMAT </w:instrText>
        </w:r>
        <w:r>
          <w:fldChar w:fldCharType="separate"/>
        </w:r>
        <w:r>
          <w:rPr>
            <w:noProof/>
          </w:rPr>
          <w:t>37</w:t>
        </w:r>
        <w:r>
          <w:rPr>
            <w:noProof/>
          </w:rPr>
          <w:fldChar w:fldCharType="end"/>
        </w:r>
      </w:p>
    </w:sdtContent>
  </w:sdt>
  <w:p w:rsidR="00A21E81" w:rsidRDefault="007611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658D1"/>
    <w:multiLevelType w:val="hybridMultilevel"/>
    <w:tmpl w:val="4614C5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EAC"/>
    <w:rsid w:val="00192FDA"/>
    <w:rsid w:val="002D40AC"/>
    <w:rsid w:val="00761169"/>
    <w:rsid w:val="00A03F59"/>
    <w:rsid w:val="00AA1EAC"/>
    <w:rsid w:val="00E737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EA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A1EAC"/>
    <w:rPr>
      <w:sz w:val="20"/>
      <w:szCs w:val="20"/>
    </w:rPr>
  </w:style>
  <w:style w:type="character" w:customStyle="1" w:styleId="FootnoteTextChar">
    <w:name w:val="Footnote Text Char"/>
    <w:basedOn w:val="DefaultParagraphFont"/>
    <w:link w:val="FootnoteText"/>
    <w:uiPriority w:val="99"/>
    <w:semiHidden/>
    <w:rsid w:val="00AA1EAC"/>
    <w:rPr>
      <w:rFonts w:eastAsia="Times New Roman" w:cs="Times New Roman"/>
      <w:sz w:val="20"/>
      <w:szCs w:val="20"/>
    </w:rPr>
  </w:style>
  <w:style w:type="character" w:styleId="FootnoteReference">
    <w:name w:val="footnote reference"/>
    <w:basedOn w:val="DefaultParagraphFont"/>
    <w:uiPriority w:val="99"/>
    <w:semiHidden/>
    <w:unhideWhenUsed/>
    <w:rsid w:val="00AA1EAC"/>
    <w:rPr>
      <w:vertAlign w:val="superscript"/>
    </w:rPr>
  </w:style>
  <w:style w:type="paragraph" w:styleId="Header">
    <w:name w:val="header"/>
    <w:basedOn w:val="Normal"/>
    <w:link w:val="HeaderChar"/>
    <w:uiPriority w:val="99"/>
    <w:unhideWhenUsed/>
    <w:rsid w:val="00AA1EAC"/>
    <w:pPr>
      <w:tabs>
        <w:tab w:val="center" w:pos="4680"/>
        <w:tab w:val="right" w:pos="9360"/>
      </w:tabs>
    </w:pPr>
  </w:style>
  <w:style w:type="character" w:customStyle="1" w:styleId="HeaderChar">
    <w:name w:val="Header Char"/>
    <w:basedOn w:val="DefaultParagraphFont"/>
    <w:link w:val="Header"/>
    <w:uiPriority w:val="99"/>
    <w:rsid w:val="00AA1EAC"/>
    <w:rPr>
      <w:rFonts w:eastAsia="Times New Roman" w:cs="Times New Roman"/>
      <w:sz w:val="24"/>
      <w:szCs w:val="24"/>
    </w:rPr>
  </w:style>
  <w:style w:type="paragraph" w:styleId="ListParagraph">
    <w:name w:val="List Paragraph"/>
    <w:basedOn w:val="Normal"/>
    <w:uiPriority w:val="34"/>
    <w:qFormat/>
    <w:rsid w:val="00AA1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EAC"/>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A1EAC"/>
    <w:rPr>
      <w:sz w:val="20"/>
      <w:szCs w:val="20"/>
    </w:rPr>
  </w:style>
  <w:style w:type="character" w:customStyle="1" w:styleId="FootnoteTextChar">
    <w:name w:val="Footnote Text Char"/>
    <w:basedOn w:val="DefaultParagraphFont"/>
    <w:link w:val="FootnoteText"/>
    <w:uiPriority w:val="99"/>
    <w:semiHidden/>
    <w:rsid w:val="00AA1EAC"/>
    <w:rPr>
      <w:rFonts w:eastAsia="Times New Roman" w:cs="Times New Roman"/>
      <w:sz w:val="20"/>
      <w:szCs w:val="20"/>
    </w:rPr>
  </w:style>
  <w:style w:type="character" w:styleId="FootnoteReference">
    <w:name w:val="footnote reference"/>
    <w:basedOn w:val="DefaultParagraphFont"/>
    <w:uiPriority w:val="99"/>
    <w:semiHidden/>
    <w:unhideWhenUsed/>
    <w:rsid w:val="00AA1EAC"/>
    <w:rPr>
      <w:vertAlign w:val="superscript"/>
    </w:rPr>
  </w:style>
  <w:style w:type="paragraph" w:styleId="Header">
    <w:name w:val="header"/>
    <w:basedOn w:val="Normal"/>
    <w:link w:val="HeaderChar"/>
    <w:uiPriority w:val="99"/>
    <w:unhideWhenUsed/>
    <w:rsid w:val="00AA1EAC"/>
    <w:pPr>
      <w:tabs>
        <w:tab w:val="center" w:pos="4680"/>
        <w:tab w:val="right" w:pos="9360"/>
      </w:tabs>
    </w:pPr>
  </w:style>
  <w:style w:type="character" w:customStyle="1" w:styleId="HeaderChar">
    <w:name w:val="Header Char"/>
    <w:basedOn w:val="DefaultParagraphFont"/>
    <w:link w:val="Header"/>
    <w:uiPriority w:val="99"/>
    <w:rsid w:val="00AA1EAC"/>
    <w:rPr>
      <w:rFonts w:eastAsia="Times New Roman" w:cs="Times New Roman"/>
      <w:sz w:val="24"/>
      <w:szCs w:val="24"/>
    </w:rPr>
  </w:style>
  <w:style w:type="paragraph" w:styleId="ListParagraph">
    <w:name w:val="List Paragraph"/>
    <w:basedOn w:val="Normal"/>
    <w:uiPriority w:val="34"/>
    <w:qFormat/>
    <w:rsid w:val="00AA1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p/home/dvc-tthc-thu-tuc-hanh-chinh-chi-tiet.html?ma_thu_tuc=253737"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dichvucong.gov.vn/p/home/dvc-tthc-thu-tuc-hanh-chinh-chi-tiet.html?ma_thu_tuc=1745" TargetMode="External"/><Relationship Id="rId5" Type="http://schemas.openxmlformats.org/officeDocument/2006/relationships/webSettings" Target="webSettings.xml"/><Relationship Id="rId10" Type="http://schemas.openxmlformats.org/officeDocument/2006/relationships/hyperlink" Target="https://dichvucong.gov.vn/p/home/dvc-tthc-thu-tuc-hanh-chinh-chi-tiet.html?ma_thu_tuc=1711" TargetMode="External"/><Relationship Id="rId4" Type="http://schemas.openxmlformats.org/officeDocument/2006/relationships/settings" Target="settings.xml"/><Relationship Id="rId9" Type="http://schemas.openxmlformats.org/officeDocument/2006/relationships/hyperlink" Target="https://dichvucong.gov.vn/p/home/dvc-tthc-thu-tuc-hanh-chinh-chi-tiet.html?ma_thu_tuc=169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291</Words>
  <Characters>1662</Characters>
  <Application>Microsoft Office Word</Application>
  <DocSecurity>0</DocSecurity>
  <Lines>13</Lines>
  <Paragraphs>3</Paragraphs>
  <ScaleCrop>false</ScaleCrop>
  <Company/>
  <LinksUpToDate>false</LinksUpToDate>
  <CharactersWithSpaces>1950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2021-04-05T06:14:00Z</cp:lastPrinted>
  <dcterms:created xsi:type="dcterms:W3CDTF">2021-03-30T08:06:00Z</dcterms:created>
  <dcterms:modified xsi:type="dcterms:W3CDTF">2021-04-05T06:27:00Z</dcterms:modified>
</cp:coreProperties>
</file>